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sz w:val="24"/>
          <w:szCs w:val="24"/>
          <w:vertAlign w:val="baseline"/>
          <w:lang w:val="en-US" w:eastAsia="zh-CN"/>
        </w:rPr>
      </w:pPr>
      <w:bookmarkStart w:id="0" w:name="_GoBack"/>
      <w:r>
        <w:rPr>
          <w:rFonts w:hint="eastAsia" w:ascii="黑体" w:hAnsi="黑体" w:eastAsia="黑体" w:cs="黑体"/>
          <w:sz w:val="24"/>
          <w:szCs w:val="24"/>
          <w:vertAlign w:val="baseline"/>
          <w:lang w:val="en-US" w:eastAsia="zh-CN"/>
        </w:rPr>
        <w:drawing>
          <wp:inline distT="0" distB="0" distL="114300" distR="114300">
            <wp:extent cx="4008120" cy="459740"/>
            <wp:effectExtent l="0" t="0" r="11430" b="16510"/>
            <wp:docPr id="9" name="图片 6" descr="技术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技术参数"/>
                    <pic:cNvPicPr>
                      <a:picLocks noChangeAspect="1"/>
                    </pic:cNvPicPr>
                  </pic:nvPicPr>
                  <pic:blipFill>
                    <a:blip r:embed="rId4"/>
                    <a:stretch>
                      <a:fillRect/>
                    </a:stretch>
                  </pic:blipFill>
                  <pic:spPr>
                    <a:xfrm>
                      <a:off x="0" y="0"/>
                      <a:ext cx="4008120" cy="459740"/>
                    </a:xfrm>
                    <a:prstGeom prst="rect">
                      <a:avLst/>
                    </a:prstGeom>
                    <a:noFill/>
                    <a:ln w="9525">
                      <a:noFill/>
                    </a:ln>
                  </pic:spPr>
                </pic:pic>
              </a:graphicData>
            </a:graphic>
          </wp:inline>
        </w:drawing>
      </w:r>
      <w:r>
        <w:rPr>
          <w:rFonts w:hint="eastAsia" w:ascii="黑体" w:hAnsi="黑体" w:eastAsia="黑体" w:cs="黑体"/>
          <w:i w:val="0"/>
          <w:caps w:val="0"/>
          <w:color w:val="333333"/>
          <w:spacing w:val="0"/>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43815</wp:posOffset>
            </wp:positionV>
            <wp:extent cx="1960245" cy="3674745"/>
            <wp:effectExtent l="0" t="0" r="1905" b="1905"/>
            <wp:wrapSquare wrapText="bothSides"/>
            <wp:docPr id="1" name="图片 1" descr="1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36-1"/>
                    <pic:cNvPicPr>
                      <a:picLocks noChangeAspect="1"/>
                    </pic:cNvPicPr>
                  </pic:nvPicPr>
                  <pic:blipFill>
                    <a:blip r:embed="rId5"/>
                    <a:stretch>
                      <a:fillRect/>
                    </a:stretch>
                  </pic:blipFill>
                  <pic:spPr>
                    <a:xfrm>
                      <a:off x="0" y="0"/>
                      <a:ext cx="1960245" cy="3674745"/>
                    </a:xfrm>
                    <a:prstGeom prst="rect">
                      <a:avLst/>
                    </a:prstGeom>
                  </pic:spPr>
                </pic:pic>
              </a:graphicData>
            </a:graphic>
          </wp:anchor>
        </w:drawing>
      </w:r>
    </w:p>
    <w:tbl>
      <w:tblPr>
        <w:tblStyle w:val="5"/>
        <w:tblW w:w="6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32"/>
        <w:gridCol w:w="3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32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品牌：MT/迈特</w:t>
            </w:r>
          </w:p>
        </w:tc>
        <w:tc>
          <w:tcPr>
            <w:tcW w:w="364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型号：MYF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32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原理：叶片式</w:t>
            </w:r>
          </w:p>
        </w:tc>
        <w:tc>
          <w:tcPr>
            <w:tcW w:w="364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用途：气体除水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32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样式：立式</w:t>
            </w:r>
          </w:p>
        </w:tc>
        <w:tc>
          <w:tcPr>
            <w:tcW w:w="364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设计压力：1.0-1.6mpa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32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适用温度：10-300℃</w:t>
            </w:r>
          </w:p>
        </w:tc>
        <w:tc>
          <w:tcPr>
            <w:tcW w:w="364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主体材料：Q235B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32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连接形式：法兰</w:t>
            </w:r>
          </w:p>
        </w:tc>
        <w:tc>
          <w:tcPr>
            <w:tcW w:w="364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入口干度：</w:t>
            </w:r>
            <w:r>
              <w:rPr>
                <w:rFonts w:hint="eastAsia" w:ascii="黑体" w:hAnsi="黑体" w:eastAsia="黑体" w:cs="黑体"/>
                <w:b/>
                <w:bCs/>
                <w:color w:val="000000"/>
                <w:sz w:val="24"/>
                <w:szCs w:val="24"/>
                <w:lang w:eastAsia="zh-CN"/>
              </w:rPr>
              <w:t>＜</w:t>
            </w:r>
            <w:r>
              <w:rPr>
                <w:rFonts w:hint="eastAsia" w:ascii="黑体" w:hAnsi="黑体" w:eastAsia="黑体" w:cs="黑体"/>
                <w:b/>
                <w:bCs/>
                <w:color w:val="000000"/>
                <w:sz w:val="24"/>
                <w:szCs w:val="24"/>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32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出口干度：</w:t>
            </w:r>
            <w:r>
              <w:rPr>
                <w:rFonts w:hint="eastAsia" w:ascii="黑体" w:hAnsi="黑体" w:eastAsia="黑体" w:cs="黑体"/>
                <w:b/>
                <w:bCs/>
                <w:sz w:val="24"/>
                <w:szCs w:val="24"/>
              </w:rPr>
              <w:t>&gt;9</w:t>
            </w:r>
            <w:r>
              <w:rPr>
                <w:rFonts w:hint="eastAsia" w:ascii="黑体" w:hAnsi="黑体" w:eastAsia="黑体" w:cs="黑体"/>
                <w:b/>
                <w:bCs/>
                <w:sz w:val="24"/>
                <w:szCs w:val="24"/>
                <w:lang w:val="en-US" w:eastAsia="zh-CN"/>
              </w:rPr>
              <w:t>0</w:t>
            </w:r>
            <w:r>
              <w:rPr>
                <w:rFonts w:hint="eastAsia" w:ascii="黑体" w:hAnsi="黑体" w:eastAsia="黑体" w:cs="黑体"/>
                <w:b/>
                <w:bCs/>
                <w:sz w:val="24"/>
                <w:szCs w:val="24"/>
              </w:rPr>
              <w:t>%</w:t>
            </w:r>
          </w:p>
        </w:tc>
        <w:tc>
          <w:tcPr>
            <w:tcW w:w="364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排水温度：</w:t>
            </w:r>
            <w:r>
              <w:rPr>
                <w:rFonts w:hint="eastAsia" w:ascii="黑体" w:hAnsi="黑体" w:eastAsia="黑体" w:cs="黑体"/>
                <w:b/>
                <w:bCs/>
                <w:color w:val="000000"/>
                <w:sz w:val="24"/>
                <w:szCs w:val="24"/>
                <w:lang w:eastAsia="zh-CN"/>
              </w:rPr>
              <w:t>＜</w:t>
            </w:r>
            <w:r>
              <w:rPr>
                <w:rFonts w:hint="eastAsia" w:ascii="黑体" w:hAnsi="黑体" w:eastAsia="黑体" w:cs="黑体"/>
                <w:b/>
                <w:bCs/>
                <w:color w:val="000000"/>
                <w:sz w:val="24"/>
                <w:szCs w:val="24"/>
                <w:lang w:val="en-US" w:eastAsia="zh-CN"/>
              </w:rPr>
              <w:t>60</w:t>
            </w:r>
            <w:r>
              <w:rPr>
                <w:rFonts w:hint="eastAsia" w:ascii="黑体" w:hAnsi="黑体" w:eastAsia="黑体" w:cs="黑体"/>
                <w:b/>
                <w:bCs/>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6880"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配件：自动放水阀AD-402/</w:t>
            </w:r>
            <w:r>
              <w:rPr>
                <w:rFonts w:hint="eastAsia" w:ascii="黑体" w:hAnsi="黑体" w:eastAsia="黑体" w:cs="黑体"/>
                <w:b/>
                <w:bCs/>
                <w:i w:val="0"/>
                <w:caps w:val="0"/>
                <w:color w:val="333333"/>
                <w:spacing w:val="0"/>
                <w:kern w:val="0"/>
                <w:sz w:val="24"/>
                <w:szCs w:val="24"/>
                <w:lang w:val="en-US" w:eastAsia="zh-CN" w:bidi="ar"/>
              </w:rPr>
              <w:t>CS19H-16C-40C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6880"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200"/>
              <w:textAlignment w:val="auto"/>
              <w:outlineLvl w:val="9"/>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适用范围：蒸汽、风机、烟道、空压机、甲烷等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6880"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482" w:firstLineChars="200"/>
              <w:textAlignment w:val="auto"/>
              <w:outlineLvl w:val="9"/>
              <w:rPr>
                <w:rFonts w:hint="eastAsia" w:ascii="黑体" w:hAnsi="黑体" w:eastAsia="黑体" w:cs="黑体"/>
                <w:b/>
                <w:bCs/>
                <w:sz w:val="24"/>
                <w:szCs w:val="24"/>
                <w:vertAlign w:val="baseline"/>
                <w:lang w:val="en-US" w:eastAsia="zh-CN"/>
              </w:rPr>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sz w:val="24"/>
          <w:szCs w:val="2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sz w:val="24"/>
          <w:szCs w:val="2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sz w:val="24"/>
          <w:szCs w:val="24"/>
          <w:lang w:eastAsia="zh-CN"/>
        </w:rPr>
        <w:drawing>
          <wp:inline distT="0" distB="0" distL="114300" distR="114300">
            <wp:extent cx="6111875" cy="773430"/>
            <wp:effectExtent l="0" t="0" r="3175" b="7620"/>
            <wp:docPr id="8" name="图片 5" descr="设备原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设备原理"/>
                    <pic:cNvPicPr>
                      <a:picLocks noChangeAspect="1"/>
                    </pic:cNvPicPr>
                  </pic:nvPicPr>
                  <pic:blipFill>
                    <a:blip r:embed="rId6"/>
                    <a:stretch>
                      <a:fillRect/>
                    </a:stretch>
                  </pic:blipFill>
                  <pic:spPr>
                    <a:xfrm>
                      <a:off x="0" y="0"/>
                      <a:ext cx="6111875" cy="77343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叶片分离器采用成为‘叶片’的分离元件，这种分离元件是一种新型分离内件，广泛的应用于石油天然气行业、石化行业、化学行业等工业领域。其工作原理为：当夹带液滴的气体进入分离器后体积发生膨胀，开始初级分离；当夹带液滴的气体一旦进入高效分离叶片的通道，将被叶片立即分隔成多个区域。气体在通过各个区域的过程中将被叶片强制进行多次快速的流向转变。气体在进行多次快速的流向转变过程中，在惯性力的作用下，液滴将与叶片发生碰撞，液滴之间通过聚结效应附着在叶片表面。附着在叶片表面的液滴在自身重力，液体表面张力和气体动能的联合作用下进入叶片的夹层，并在夹层中汇流成股，流入到叶片下方的积液槽中进行收集。收集的液体在自身重力的作用下被导液管引入分离器的底部，并终从分离器的底部被排出。规与矩科技的叶片分离在设计开发过程中同时采用动能碰撞、液滴吸附聚结和重力沉降的原理，从而得以实现更高的气液分离效率，更低的操作压降以及更宽的操作弹性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当夹带液沫的气体接近叶片，通过技术</w:t>
      </w:r>
      <w:r>
        <w:rPr>
          <w:rFonts w:hint="eastAsia" w:ascii="黑体" w:hAnsi="黑体" w:eastAsia="黑体" w:cs="黑体"/>
          <w:i w:val="0"/>
          <w:caps w:val="0"/>
          <w:color w:val="333333"/>
          <w:spacing w:val="0"/>
          <w:sz w:val="24"/>
          <w:szCs w:val="24"/>
          <w:lang w:eastAsia="zh-CN"/>
        </w:rPr>
        <w:t>设计让</w:t>
      </w:r>
      <w:r>
        <w:rPr>
          <w:rFonts w:hint="eastAsia" w:ascii="黑体" w:hAnsi="黑体" w:eastAsia="黑体" w:cs="黑体"/>
          <w:i w:val="0"/>
          <w:caps w:val="0"/>
          <w:color w:val="333333"/>
          <w:spacing w:val="0"/>
          <w:sz w:val="24"/>
          <w:szCs w:val="24"/>
        </w:rPr>
        <w:t>叶片中特殊设计的流体动力学流道结构，如下图所示，流体在叶片束内受迫流动，使流体中旋转微元的数量呈几何级数增加，旋转半径急剧下降，雾沫间、雾沫与叶片表面间相互碰撞聚结增长效率显著提升，长大的液沫滴在旋转矢量场下实现数十倍于重力下的分离效率从气流中分离；分离出来的大量液沫液滴在叶片表面流动铺展成膜流动，通过液沫表面自由能进一步将撞击湿润叶片表面的气流中残余微小雾沫高效捕集；捕集汇流的液体按照特殊结构流道产生的流体效应而进入与气体方向垂直设置的二级微流道“袋”，并在那里通过导流管和精确设计的液封结构排到罐体底部。导流管底部液体密封结构可防止气体“短路”通过导流管绕过叶片精密分离内件组逃脱精密分离，又可防犯“虹吸现象”将分离下来储存于罐体底部的液相吸入并重新分散到洁净气流中，降低分离效率和运行稳定性。</w:t>
      </w:r>
      <w:r>
        <w:rPr>
          <w:rFonts w:hint="eastAsia" w:ascii="黑体" w:hAnsi="黑体" w:eastAsia="黑体" w:cs="黑体"/>
          <w:i w:val="0"/>
          <w:caps w:val="0"/>
          <w:color w:val="333333"/>
          <w:spacing w:val="0"/>
          <w:sz w:val="24"/>
          <w:szCs w:val="24"/>
          <w:lang w:eastAsia="zh-CN"/>
        </w:rPr>
        <w:drawing>
          <wp:inline distT="0" distB="0" distL="114300" distR="114300">
            <wp:extent cx="2534285" cy="2582545"/>
            <wp:effectExtent l="0" t="0" r="18415" b="8255"/>
            <wp:docPr id="3" name="图片 3" descr="叶片式汽水分离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叶片式汽水分离器1"/>
                    <pic:cNvPicPr>
                      <a:picLocks noChangeAspect="1"/>
                    </pic:cNvPicPr>
                  </pic:nvPicPr>
                  <pic:blipFill>
                    <a:blip r:embed="rId7"/>
                    <a:stretch>
                      <a:fillRect/>
                    </a:stretch>
                  </pic:blipFill>
                  <pic:spPr>
                    <a:xfrm>
                      <a:off x="0" y="0"/>
                      <a:ext cx="2534285" cy="2582545"/>
                    </a:xfrm>
                    <a:prstGeom prst="rect">
                      <a:avLst/>
                    </a:prstGeom>
                  </pic:spPr>
                </pic:pic>
              </a:graphicData>
            </a:graphic>
          </wp:inline>
        </w:drawing>
      </w:r>
      <w:r>
        <w:rPr>
          <w:rFonts w:hint="eastAsia" w:ascii="黑体" w:hAnsi="黑体" w:eastAsia="黑体" w:cs="黑体"/>
          <w:i w:val="0"/>
          <w:caps w:val="0"/>
          <w:color w:val="333333"/>
          <w:spacing w:val="0"/>
          <w:sz w:val="24"/>
          <w:szCs w:val="24"/>
          <w:lang w:eastAsia="zh-CN"/>
        </w:rPr>
        <w:drawing>
          <wp:inline distT="0" distB="0" distL="114300" distR="114300">
            <wp:extent cx="2657475" cy="2571750"/>
            <wp:effectExtent l="0" t="0" r="9525" b="0"/>
            <wp:docPr id="2" name="图片 2" descr="叶片式汽水分离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叶片式汽水分离器"/>
                    <pic:cNvPicPr>
                      <a:picLocks noChangeAspect="1"/>
                    </pic:cNvPicPr>
                  </pic:nvPicPr>
                  <pic:blipFill>
                    <a:blip r:embed="rId8"/>
                    <a:stretch>
                      <a:fillRect/>
                    </a:stretch>
                  </pic:blipFill>
                  <pic:spPr>
                    <a:xfrm>
                      <a:off x="0" y="0"/>
                      <a:ext cx="2657475" cy="257175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drawing>
          <wp:inline distT="0" distB="0" distL="114300" distR="114300">
            <wp:extent cx="6111875" cy="773430"/>
            <wp:effectExtent l="0" t="0" r="3175" b="7620"/>
            <wp:docPr id="7" name="图片 4" descr="设备性能特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设备性能特点"/>
                    <pic:cNvPicPr>
                      <a:picLocks noChangeAspect="1"/>
                    </pic:cNvPicPr>
                  </pic:nvPicPr>
                  <pic:blipFill>
                    <a:blip r:embed="rId9"/>
                    <a:stretch>
                      <a:fillRect/>
                    </a:stretch>
                  </pic:blipFill>
                  <pic:spPr>
                    <a:xfrm>
                      <a:off x="0" y="0"/>
                      <a:ext cx="6111875" cy="77343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lang w:eastAsia="zh-CN"/>
        </w:rPr>
      </w:pPr>
      <w:r>
        <w:rPr>
          <w:rFonts w:hint="eastAsia" w:ascii="黑体" w:hAnsi="黑体" w:eastAsia="黑体" w:cs="黑体"/>
          <w:i w:val="0"/>
          <w:caps w:val="0"/>
          <w:color w:val="333333"/>
          <w:spacing w:val="0"/>
          <w:sz w:val="24"/>
          <w:szCs w:val="24"/>
        </w:rPr>
        <w:t>1.特别高的气体处理能力，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2.高效的分离效率。能够对直径大于8</w:t>
      </w:r>
      <w:r>
        <w:rPr>
          <w:rFonts w:hint="eastAsia" w:ascii="黑体" w:hAnsi="黑体" w:eastAsia="黑体" w:cs="黑体"/>
          <w:i w:val="0"/>
          <w:caps w:val="0"/>
          <w:color w:val="333333"/>
          <w:spacing w:val="0"/>
          <w:sz w:val="24"/>
          <w:szCs w:val="24"/>
          <w:lang w:val="en-US" w:eastAsia="zh-CN"/>
        </w:rPr>
        <w:t>0</w:t>
      </w:r>
      <w:r>
        <w:rPr>
          <w:rFonts w:hint="eastAsia" w:ascii="黑体" w:hAnsi="黑体" w:eastAsia="黑体" w:cs="黑体"/>
          <w:i w:val="0"/>
          <w:caps w:val="0"/>
          <w:color w:val="333333"/>
          <w:spacing w:val="0"/>
          <w:sz w:val="24"/>
          <w:szCs w:val="24"/>
        </w:rPr>
        <w:t>微米的液滴可实现</w:t>
      </w:r>
      <w:r>
        <w:rPr>
          <w:rFonts w:hint="eastAsia" w:ascii="黑体" w:hAnsi="黑体" w:eastAsia="黑体" w:cs="黑体"/>
          <w:i w:val="0"/>
          <w:caps w:val="0"/>
          <w:color w:val="333333"/>
          <w:spacing w:val="0"/>
          <w:sz w:val="24"/>
          <w:szCs w:val="24"/>
          <w:lang w:val="en-US" w:eastAsia="zh-CN"/>
        </w:rPr>
        <w:t>99</w:t>
      </w:r>
      <w:r>
        <w:rPr>
          <w:rFonts w:hint="eastAsia" w:ascii="黑体" w:hAnsi="黑体" w:eastAsia="黑体" w:cs="黑体"/>
          <w:i w:val="0"/>
          <w:caps w:val="0"/>
          <w:color w:val="333333"/>
          <w:spacing w:val="0"/>
          <w:sz w:val="24"/>
          <w:szCs w:val="24"/>
        </w:rPr>
        <w:t>%的分离，（传统丝网等分离器</w:t>
      </w:r>
      <w:r>
        <w:rPr>
          <w:rFonts w:hint="eastAsia" w:ascii="黑体" w:hAnsi="黑体" w:eastAsia="黑体" w:cs="黑体"/>
          <w:i w:val="0"/>
          <w:caps w:val="0"/>
          <w:color w:val="333333"/>
          <w:spacing w:val="0"/>
          <w:sz w:val="24"/>
          <w:szCs w:val="24"/>
          <w:lang w:eastAsia="zh-CN"/>
        </w:rPr>
        <w:t>较</w:t>
      </w:r>
      <w:r>
        <w:rPr>
          <w:rFonts w:hint="eastAsia" w:ascii="黑体" w:hAnsi="黑体" w:eastAsia="黑体" w:cs="黑体"/>
          <w:i w:val="0"/>
          <w:caps w:val="0"/>
          <w:color w:val="333333"/>
          <w:spacing w:val="0"/>
          <w:sz w:val="24"/>
          <w:szCs w:val="24"/>
        </w:rPr>
        <w:t>高脱除效率不超过98.5%），5-8微米99.5%的分离，出口气体里的液体含量可控制在小于13.4L/百万标立方米。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3.更小的分离器壳体尺寸，处理同工况气量，叶片分离器要比丝网等传统分离设备小30%-40%，减小工厂的设备成本和占地面积。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4.操作弹性大，适用于高液气比的场合，液相负荷处理弹性范围大，适用于存在段塞流的场合。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5.彻底消除高速气体对液体造成的二次夹带，造成分离效率的降低和运行的稳定性。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6.压降小。压降小于等于6kpa（极限），仅为传统丝网过滤分离的1/8，大大降低工厂运行能耗，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7.不堵、不结蜡，无需备品备件，能够正常平稳运行20-30年。大大降低工厂的运行维护成本，提供经济效益。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drawing>
          <wp:inline distT="0" distB="0" distL="114300" distR="114300">
            <wp:extent cx="6111875" cy="773430"/>
            <wp:effectExtent l="0" t="0" r="3175" b="7620"/>
            <wp:docPr id="6" name="图片 3" descr="外形尺寸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外形尺寸简图"/>
                    <pic:cNvPicPr>
                      <a:picLocks noChangeAspect="1"/>
                    </pic:cNvPicPr>
                  </pic:nvPicPr>
                  <pic:blipFill>
                    <a:blip r:embed="rId10"/>
                    <a:stretch>
                      <a:fillRect/>
                    </a:stretch>
                  </pic:blipFill>
                  <pic:spPr>
                    <a:xfrm>
                      <a:off x="0" y="0"/>
                      <a:ext cx="6111875" cy="773430"/>
                    </a:xfrm>
                    <a:prstGeom prst="rect">
                      <a:avLst/>
                    </a:prstGeom>
                    <a:noFill/>
                    <a:ln w="9525">
                      <a:noFill/>
                    </a:ln>
                  </pic:spPr>
                </pic:pic>
              </a:graphicData>
            </a:graphic>
          </wp:inline>
        </w:drawing>
      </w:r>
    </w:p>
    <w:p>
      <w:pPr>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tabs>
          <w:tab w:val="left" w:pos="642"/>
        </w:tabs>
        <w:jc w:val="left"/>
        <w:rPr>
          <w:rFonts w:hint="eastAsia"/>
          <w:lang w:eastAsia="zh-CN"/>
        </w:rPr>
      </w:pPr>
      <w:r>
        <w:rPr>
          <w:rFonts w:hint="eastAsia" w:ascii="黑体" w:hAnsi="黑体" w:eastAsia="黑体" w:cs="黑体"/>
          <w:sz w:val="24"/>
          <w:szCs w:val="24"/>
          <w:lang w:eastAsia="zh-CN"/>
        </w:rPr>
        <w:tab/>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center"/>
        <w:textAlignment w:val="auto"/>
        <w:rPr>
          <w:rFonts w:hint="eastAsia" w:ascii="黑体" w:hAnsi="黑体" w:eastAsia="黑体" w:cs="黑体"/>
          <w:i w:val="0"/>
          <w:caps w:val="0"/>
          <w:color w:val="333333"/>
          <w:spacing w:val="0"/>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INCLUDEPICTURE "http://www.zouyongxiu.cn/upload/image/20121124/201211241014505638263.jpg" \* MERGEFORMATINET </w:instrText>
      </w:r>
      <w:r>
        <w:rPr>
          <w:rFonts w:hint="eastAsia" w:ascii="黑体" w:hAnsi="黑体" w:eastAsia="黑体" w:cs="黑体"/>
          <w:sz w:val="24"/>
          <w:szCs w:val="24"/>
        </w:rPr>
        <w:fldChar w:fldCharType="separate"/>
      </w:r>
      <w:r>
        <w:rPr>
          <w:rFonts w:hint="eastAsia" w:ascii="黑体" w:hAnsi="黑体" w:eastAsia="黑体" w:cs="黑体"/>
          <w:sz w:val="24"/>
          <w:szCs w:val="24"/>
        </w:rPr>
        <w:drawing>
          <wp:inline distT="0" distB="0" distL="114300" distR="114300">
            <wp:extent cx="4006850" cy="3709035"/>
            <wp:effectExtent l="0" t="0" r="12700" b="5715"/>
            <wp:docPr id="5" name="图片 2" descr="20121124101450563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211241014505638263"/>
                    <pic:cNvPicPr>
                      <a:picLocks noChangeAspect="1"/>
                    </pic:cNvPicPr>
                  </pic:nvPicPr>
                  <pic:blipFill>
                    <a:blip r:embed="rId11"/>
                    <a:stretch>
                      <a:fillRect/>
                    </a:stretch>
                  </pic:blipFill>
                  <pic:spPr>
                    <a:xfrm>
                      <a:off x="0" y="0"/>
                      <a:ext cx="4006850" cy="3709035"/>
                    </a:xfrm>
                    <a:prstGeom prst="rect">
                      <a:avLst/>
                    </a:prstGeom>
                    <a:noFill/>
                    <a:ln w="9525">
                      <a:noFill/>
                    </a:ln>
                  </pic:spPr>
                </pic:pic>
              </a:graphicData>
            </a:graphic>
          </wp:inline>
        </w:drawing>
      </w:r>
      <w:r>
        <w:rPr>
          <w:rFonts w:hint="eastAsia" w:ascii="黑体" w:hAnsi="黑体" w:eastAsia="黑体" w:cs="黑体"/>
          <w:sz w:val="24"/>
          <w:szCs w:val="24"/>
        </w:rPr>
        <w:fldChar w:fldCharType="end"/>
      </w:r>
      <w:r>
        <w:rPr>
          <w:rFonts w:hint="eastAsia" w:ascii="黑体" w:hAnsi="黑体" w:eastAsia="黑体" w:cs="黑体"/>
          <w:sz w:val="24"/>
          <w:szCs w:val="24"/>
          <w:lang w:eastAsia="zh-CN"/>
        </w:rPr>
        <w:drawing>
          <wp:inline distT="0" distB="0" distL="114300" distR="114300">
            <wp:extent cx="6111875" cy="773430"/>
            <wp:effectExtent l="0" t="0" r="3175" b="7620"/>
            <wp:docPr id="4" name="图片 1" descr="选型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选型参数"/>
                    <pic:cNvPicPr>
                      <a:picLocks noChangeAspect="1"/>
                    </pic:cNvPicPr>
                  </pic:nvPicPr>
                  <pic:blipFill>
                    <a:blip r:embed="rId12"/>
                    <a:stretch>
                      <a:fillRect/>
                    </a:stretch>
                  </pic:blipFill>
                  <pic:spPr>
                    <a:xfrm>
                      <a:off x="0" y="0"/>
                      <a:ext cx="6111875" cy="773430"/>
                    </a:xfrm>
                    <a:prstGeom prst="rect">
                      <a:avLst/>
                    </a:prstGeom>
                    <a:noFill/>
                    <a:ln w="9525">
                      <a:noFill/>
                    </a:ln>
                  </pic:spPr>
                </pic:pic>
              </a:graphicData>
            </a:graphic>
          </wp:inline>
        </w:drawing>
      </w:r>
    </w:p>
    <w:tbl>
      <w:tblPr>
        <w:tblStyle w:val="4"/>
        <w:tblW w:w="8971" w:type="dxa"/>
        <w:jc w:val="center"/>
        <w:tblCellSpacing w:w="0" w:type="dxa"/>
        <w:tblInd w:w="-9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6"/>
        <w:gridCol w:w="884"/>
        <w:gridCol w:w="970"/>
        <w:gridCol w:w="970"/>
        <w:gridCol w:w="970"/>
        <w:gridCol w:w="1613"/>
        <w:gridCol w:w="1050"/>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tblCellSpacing w:w="0" w:type="dxa"/>
          <w:jc w:val="center"/>
        </w:trPr>
        <w:tc>
          <w:tcPr>
            <w:tcW w:w="1266" w:type="dxa"/>
            <w:vMerge w:val="restart"/>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型号</w:t>
            </w:r>
          </w:p>
        </w:tc>
        <w:tc>
          <w:tcPr>
            <w:tcW w:w="884" w:type="dxa"/>
            <w:vMerge w:val="restart"/>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口径</w:t>
            </w:r>
          </w:p>
        </w:tc>
        <w:tc>
          <w:tcPr>
            <w:tcW w:w="4523" w:type="dxa"/>
            <w:gridSpan w:val="4"/>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外形尺寸mm</w:t>
            </w:r>
          </w:p>
        </w:tc>
        <w:tc>
          <w:tcPr>
            <w:tcW w:w="1050" w:type="dxa"/>
            <w:vMerge w:val="restart"/>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处理量m3/min</w:t>
            </w:r>
          </w:p>
        </w:tc>
        <w:tc>
          <w:tcPr>
            <w:tcW w:w="1248" w:type="dxa"/>
            <w:vMerge w:val="restart"/>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重量Kg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vMerge w:val="continue"/>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p>
        </w:tc>
        <w:tc>
          <w:tcPr>
            <w:tcW w:w="884" w:type="dxa"/>
            <w:vMerge w:val="continue"/>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p>
        </w:tc>
        <w:tc>
          <w:tcPr>
            <w:tcW w:w="970"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E</w:t>
            </w:r>
          </w:p>
        </w:tc>
        <w:tc>
          <w:tcPr>
            <w:tcW w:w="970"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F</w:t>
            </w:r>
          </w:p>
        </w:tc>
        <w:tc>
          <w:tcPr>
            <w:tcW w:w="970"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G</w:t>
            </w:r>
          </w:p>
        </w:tc>
        <w:tc>
          <w:tcPr>
            <w:tcW w:w="1613"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H</w:t>
            </w:r>
          </w:p>
        </w:tc>
        <w:tc>
          <w:tcPr>
            <w:tcW w:w="1050" w:type="dxa"/>
            <w:vMerge w:val="continue"/>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p>
        </w:tc>
        <w:tc>
          <w:tcPr>
            <w:tcW w:w="1248" w:type="dxa"/>
            <w:vMerge w:val="continue"/>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7"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25</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DN25</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220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400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133</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330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32</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DN32</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400</w:t>
            </w:r>
            <w:r>
              <w:rPr>
                <w:rFonts w:hint="eastAsia" w:ascii="黑体" w:hAnsi="黑体" w:eastAsia="黑体" w:cs="黑体"/>
                <w:sz w:val="24"/>
                <w:szCs w:val="24"/>
              </w:rPr>
              <w:t xml:space="preserve"> </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600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133</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330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1.5</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MYF-40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w:t>
            </w:r>
            <w:r>
              <w:rPr>
                <w:rFonts w:hint="eastAsia" w:ascii="黑体" w:hAnsi="黑体" w:eastAsia="黑体" w:cs="黑体"/>
                <w:sz w:val="24"/>
                <w:szCs w:val="24"/>
                <w:lang w:val="en-US" w:eastAsia="zh-CN"/>
              </w:rPr>
              <w:t>40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 xml:space="preserve">400 </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700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159</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360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65</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DN65</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400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850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159</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360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6</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80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DN80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510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900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219</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420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9</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100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DN100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580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920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273</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480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14</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150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DN150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650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 xml:space="preserve">990 </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426</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650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32</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200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DN200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630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1200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426</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630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56</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250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DN250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770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1250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478</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680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88</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300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DN300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840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 xml:space="preserve">1300 </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630</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830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127</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3</w:t>
            </w:r>
            <w:r>
              <w:rPr>
                <w:rFonts w:hint="eastAsia" w:ascii="黑体" w:hAnsi="黑体" w:eastAsia="黑体" w:cs="黑体"/>
                <w:sz w:val="24"/>
                <w:szCs w:val="24"/>
                <w:lang w:val="en-US" w:eastAsia="zh-CN"/>
              </w:rPr>
              <w:t>5</w:t>
            </w:r>
            <w:r>
              <w:rPr>
                <w:rFonts w:hint="eastAsia" w:ascii="黑体" w:hAnsi="黑体" w:eastAsia="黑体" w:cs="黑体"/>
                <w:sz w:val="24"/>
                <w:szCs w:val="24"/>
              </w:rPr>
              <w:t>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DN3</w:t>
            </w:r>
            <w:r>
              <w:rPr>
                <w:rFonts w:hint="eastAsia" w:ascii="黑体" w:hAnsi="黑体" w:eastAsia="黑体" w:cs="黑体"/>
                <w:sz w:val="24"/>
                <w:szCs w:val="24"/>
                <w:lang w:val="en-US" w:eastAsia="zh-CN"/>
              </w:rPr>
              <w:t>5</w:t>
            </w:r>
            <w:r>
              <w:rPr>
                <w:rFonts w:hint="eastAsia" w:ascii="黑体" w:hAnsi="黑体" w:eastAsia="黑体" w:cs="黑体"/>
                <w:sz w:val="24"/>
                <w:szCs w:val="24"/>
              </w:rPr>
              <w:t>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1050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sz w:val="24"/>
                <w:szCs w:val="24"/>
                <w:lang w:val="en-US" w:eastAsia="zh-CN"/>
              </w:rPr>
              <w:t>6</w:t>
            </w:r>
            <w:r>
              <w:rPr>
                <w:rFonts w:hint="eastAsia" w:ascii="黑体" w:hAnsi="黑体" w:eastAsia="黑体" w:cs="黑体"/>
                <w:sz w:val="24"/>
                <w:szCs w:val="24"/>
              </w:rPr>
              <w:t xml:space="preserve">00 </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710</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950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173</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MYF-</w:t>
            </w:r>
            <w:r>
              <w:rPr>
                <w:rFonts w:hint="eastAsia" w:ascii="黑体" w:hAnsi="黑体" w:eastAsia="黑体" w:cs="黑体"/>
                <w:sz w:val="24"/>
                <w:szCs w:val="24"/>
              </w:rPr>
              <w:t>400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DN400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1180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 xml:space="preserve">1910 </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820</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1090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226</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w:t>
            </w:r>
            <w:r>
              <w:rPr>
                <w:rFonts w:hint="eastAsia" w:ascii="黑体" w:hAnsi="黑体" w:eastAsia="黑体" w:cs="黑体"/>
                <w:sz w:val="24"/>
                <w:szCs w:val="24"/>
              </w:rPr>
              <w:t>450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 xml:space="preserve">DN450 </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1550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 xml:space="preserve">2200 </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920</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1320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286</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tblCellSpacing w:w="0" w:type="dxa"/>
          <w:jc w:val="center"/>
        </w:trPr>
        <w:tc>
          <w:tcPr>
            <w:tcW w:w="1266" w:type="dxa"/>
            <w:shd w:val="clear" w:color="auto" w:fill="CCFFFF"/>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MYF-500</w:t>
            </w:r>
          </w:p>
        </w:tc>
        <w:tc>
          <w:tcPr>
            <w:tcW w:w="88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DN500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1650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2300</w:t>
            </w:r>
          </w:p>
        </w:tc>
        <w:tc>
          <w:tcPr>
            <w:tcW w:w="97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1020</w:t>
            </w:r>
          </w:p>
        </w:tc>
        <w:tc>
          <w:tcPr>
            <w:tcW w:w="16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1420</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253</w:t>
            </w:r>
          </w:p>
        </w:tc>
        <w:tc>
          <w:tcPr>
            <w:tcW w:w="1248"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580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黑体" w:hAnsi="黑体" w:eastAsia="黑体" w:cs="黑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b w:val="0"/>
          <w:i w:val="0"/>
          <w:caps w:val="0"/>
          <w:color w:val="000000"/>
          <w:spacing w:val="0"/>
          <w:sz w:val="24"/>
          <w:szCs w:val="24"/>
          <w:lang w:eastAsia="zh-CN"/>
        </w:rPr>
        <w:drawing>
          <wp:inline distT="0" distB="0" distL="114300" distR="114300">
            <wp:extent cx="6111875" cy="773430"/>
            <wp:effectExtent l="0" t="0" r="3175" b="7620"/>
            <wp:docPr id="10" name="图片 7" descr="应用实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应用实例"/>
                    <pic:cNvPicPr>
                      <a:picLocks noChangeAspect="1"/>
                    </pic:cNvPicPr>
                  </pic:nvPicPr>
                  <pic:blipFill>
                    <a:blip r:embed="rId13"/>
                    <a:stretch>
                      <a:fillRect/>
                    </a:stretch>
                  </pic:blipFill>
                  <pic:spPr>
                    <a:xfrm>
                      <a:off x="0" y="0"/>
                      <a:ext cx="6111875" cy="773430"/>
                    </a:xfrm>
                    <a:prstGeom prst="rect">
                      <a:avLst/>
                    </a:prstGeom>
                    <a:noFill/>
                    <a:ln w="9525">
                      <a:noFill/>
                    </a:ln>
                  </pic:spPr>
                </pic:pic>
              </a:graphicData>
            </a:graphic>
          </wp:inline>
        </w:drawing>
      </w:r>
      <w:r>
        <w:rPr>
          <w:rFonts w:hint="eastAsia" w:ascii="黑体" w:hAnsi="黑体" w:eastAsia="黑体" w:cs="黑体"/>
          <w:i w:val="0"/>
          <w:caps w:val="0"/>
          <w:color w:val="333333"/>
          <w:spacing w:val="0"/>
          <w:sz w:val="24"/>
          <w:szCs w:val="24"/>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石油炼化：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油气田井口气液分离器、页岩气分离器、油井页岩气高压注采蒸汽分离器、天然气工艺段除油及乙二醇等、废气排放气液分离、管道天然气除水除雾、管输气凝液分离器、天然气除沫除液等；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煤化工：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煤制油释放气气液分离、尿素合成氨脱碳CO2压缩气液除沫分离、甲醇回收、酸性气分离器、压缩机进口/级间/排放段除雾除沫等；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精细化工：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助燃新鲜空气除沫器、蒸馏塔塔顶除液除沫、蒸发器气液分离、冷却塔/干燥塔塔顶除液除沫、闪蒸罐气液分离、再生塔气液分离、洗涤塔塔顶除沫除雾器、吸收塔塔顶除沫除液、压缩机（空压机）进出口及级间气液分离、压缩机（空压机）排放段除雾除沫分离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电厂：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余热/废热蒸汽汽包除雾除沫、烟气除沫除雾、压缩机气液分离等；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船舶：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船舶除雾除液等。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核工业：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饱和蒸汽脱水等；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石化和精细化工产品液滴捕集回收或污染控制，如：甲醇分离器、气液氨分离器、加氢分离器、放空除沫除雾等。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i w:val="0"/>
          <w:caps w:val="0"/>
          <w:color w:val="333333"/>
          <w:spacing w:val="0"/>
          <w:sz w:val="24"/>
          <w:szCs w:val="24"/>
        </w:rPr>
        <w:t> </w:t>
      </w:r>
      <w:r>
        <w:rPr>
          <w:rFonts w:hint="eastAsia" w:ascii="黑体" w:hAnsi="黑体" w:eastAsia="黑体" w:cs="黑体"/>
          <w:sz w:val="24"/>
          <w:szCs w:val="24"/>
          <w:lang w:eastAsia="zh-CN"/>
        </w:rPr>
        <w:drawing>
          <wp:inline distT="0" distB="0" distL="114300" distR="114300">
            <wp:extent cx="6111875" cy="773430"/>
            <wp:effectExtent l="0" t="0" r="3175" b="7620"/>
            <wp:docPr id="11" name="图片 8" descr="产品优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产品优势"/>
                    <pic:cNvPicPr>
                      <a:picLocks noChangeAspect="1"/>
                    </pic:cNvPicPr>
                  </pic:nvPicPr>
                  <pic:blipFill>
                    <a:blip r:embed="rId14"/>
                    <a:stretch>
                      <a:fillRect/>
                    </a:stretch>
                  </pic:blipFill>
                  <pic:spPr>
                    <a:xfrm>
                      <a:off x="0" y="0"/>
                      <a:ext cx="6111875" cy="77343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drawing>
          <wp:inline distT="0" distB="0" distL="114300" distR="114300">
            <wp:extent cx="5969635" cy="5578475"/>
            <wp:effectExtent l="0" t="0" r="12065" b="3175"/>
            <wp:docPr id="14" name="图片 14" descr="叶片式汽水分离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叶片式汽水分离器2"/>
                    <pic:cNvPicPr>
                      <a:picLocks noChangeAspect="1"/>
                    </pic:cNvPicPr>
                  </pic:nvPicPr>
                  <pic:blipFill>
                    <a:blip r:embed="rId15"/>
                    <a:stretch>
                      <a:fillRect/>
                    </a:stretch>
                  </pic:blipFill>
                  <pic:spPr>
                    <a:xfrm>
                      <a:off x="0" y="0"/>
                      <a:ext cx="5969635" cy="5578475"/>
                    </a:xfrm>
                    <a:prstGeom prst="rect">
                      <a:avLst/>
                    </a:prstGeom>
                  </pic:spPr>
                </pic:pic>
              </a:graphicData>
            </a:graphic>
          </wp:inline>
        </w:drawing>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sz w:val="24"/>
          <w:szCs w:val="24"/>
          <w:lang w:eastAsia="zh-CN"/>
        </w:rPr>
        <w:drawing>
          <wp:inline distT="0" distB="0" distL="114300" distR="114300">
            <wp:extent cx="6111875" cy="773430"/>
            <wp:effectExtent l="0" t="0" r="3175" b="7620"/>
            <wp:docPr id="13" name="图片 10" descr="下单提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下单提示"/>
                    <pic:cNvPicPr>
                      <a:picLocks noChangeAspect="1"/>
                    </pic:cNvPicPr>
                  </pic:nvPicPr>
                  <pic:blipFill>
                    <a:blip r:embed="rId16"/>
                    <a:stretch>
                      <a:fillRect/>
                    </a:stretch>
                  </pic:blipFill>
                  <pic:spPr>
                    <a:xfrm>
                      <a:off x="0" y="0"/>
                      <a:ext cx="6111875" cy="773430"/>
                    </a:xfrm>
                    <a:prstGeom prst="rect">
                      <a:avLst/>
                    </a:prstGeom>
                    <a:noFill/>
                    <a:ln w="9525">
                      <a:noFill/>
                    </a:ln>
                  </pic:spPr>
                </pic:pic>
              </a:graphicData>
            </a:graphic>
          </wp:inline>
        </w:drawing>
      </w:r>
      <w:r>
        <w:rPr>
          <w:rFonts w:hint="eastAsia" w:ascii="黑体" w:hAnsi="黑体" w:eastAsia="黑体" w:cs="黑体"/>
          <w:i w:val="0"/>
          <w:caps w:val="0"/>
          <w:color w:val="333333"/>
          <w:spacing w:val="0"/>
          <w:sz w:val="24"/>
          <w:szCs w:val="24"/>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sz w:val="24"/>
          <w:szCs w:val="24"/>
        </w:rPr>
        <w:t>叶片分离是定制化产品，其技术核心在于工艺计算和产品选型。需结合贵方提供的详细工况及设计数据进行流体动力分析设计，如操作压力、操作温度、介质组成、气相密度、气相流量、气相粘度、液相流量、液相密度、液相粘度、压缩因子等专业的分析设计确定内件规格：如流道长度、流道间距、分离单元长度及宽度（或直径）、动能碰撞角度、碰撞次数、次级流道液相空间、次级流道旋流空间尺寸等等。而非照搬照用。</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lang w:eastAsia="zh-CN"/>
        </w:rPr>
      </w:pPr>
    </w:p>
    <w:sectPr>
      <w:pgSz w:w="11906" w:h="16838"/>
      <w:pgMar w:top="600" w:right="646" w:bottom="69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32F96"/>
    <w:rsid w:val="09F55430"/>
    <w:rsid w:val="0D0F61B3"/>
    <w:rsid w:val="133504A9"/>
    <w:rsid w:val="1AA47EE2"/>
    <w:rsid w:val="25232F96"/>
    <w:rsid w:val="2AB63620"/>
    <w:rsid w:val="4DDA139A"/>
    <w:rsid w:val="4E9D4B66"/>
    <w:rsid w:val="596213F6"/>
    <w:rsid w:val="7E493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2019-01-15T08:07:00Z</dcterms:created>
  <dc:creator>新乡『迈特』过滤分离_15903047731</dc:creator>
  <cp:lastModifiedBy>新乡『迈特』过滤分离_15903047731</cp:lastModifiedBy>
  <dcterms:modified xsi:type="dcterms:W3CDTF">2019-07-05T12:38:53Z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